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1B0B" w14:textId="77777777" w:rsidR="005C0A15" w:rsidRDefault="005C0A15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</w:p>
    <w:p w14:paraId="3E03454F" w14:textId="77777777" w:rsidR="00E66DAC" w:rsidRDefault="0092718C" w:rsidP="00E66DAC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Paul Jackson, </w:t>
      </w:r>
      <w:r w:rsidR="00140D7F">
        <w:rPr>
          <w:rFonts w:ascii="Invesco Interstate Bold" w:hAnsi="Invesco Interstate Bold"/>
          <w:b/>
          <w:bCs/>
          <w:sz w:val="28"/>
          <w:szCs w:val="28"/>
        </w:rPr>
        <w:t xml:space="preserve">Invesco: </w:t>
      </w:r>
      <w:r>
        <w:rPr>
          <w:rFonts w:ascii="Invesco Interstate Bold" w:hAnsi="Invesco Interstate Bold"/>
          <w:b/>
          <w:bCs/>
          <w:sz w:val="28"/>
          <w:szCs w:val="28"/>
        </w:rPr>
        <w:t>V</w:t>
      </w:r>
      <w:r w:rsidR="00981A46">
        <w:rPr>
          <w:rFonts w:ascii="Invesco Interstate Bold" w:hAnsi="Invesco Interstate Bold"/>
          <w:b/>
          <w:bCs/>
          <w:sz w:val="28"/>
          <w:szCs w:val="28"/>
        </w:rPr>
        <w:t xml:space="preserve">ýhled </w:t>
      </w:r>
      <w:r>
        <w:rPr>
          <w:rFonts w:ascii="Invesco Interstate Bold" w:hAnsi="Invesco Interstate Bold"/>
          <w:b/>
          <w:bCs/>
          <w:sz w:val="28"/>
          <w:szCs w:val="28"/>
        </w:rPr>
        <w:t>pro alokaci aktiv pro první čtvrtletí</w:t>
      </w:r>
      <w:r w:rsidR="00981A46">
        <w:rPr>
          <w:rFonts w:ascii="Invesco Interstate Bold" w:hAnsi="Invesco Interstate Bold"/>
          <w:b/>
          <w:bCs/>
          <w:sz w:val="28"/>
          <w:szCs w:val="28"/>
        </w:rPr>
        <w:t xml:space="preserve"> rok</w:t>
      </w:r>
      <w:r>
        <w:rPr>
          <w:rFonts w:ascii="Invesco Interstate Bold" w:hAnsi="Invesco Interstate Bold"/>
          <w:b/>
          <w:bCs/>
          <w:sz w:val="28"/>
          <w:szCs w:val="28"/>
        </w:rPr>
        <w:t>u</w:t>
      </w:r>
      <w:r w:rsidR="00981A46">
        <w:rPr>
          <w:rFonts w:ascii="Invesco Interstate Bold" w:hAnsi="Invesco Interstate Bold"/>
          <w:b/>
          <w:bCs/>
          <w:sz w:val="28"/>
          <w:szCs w:val="28"/>
        </w:rPr>
        <w:t xml:space="preserve"> 2024 </w:t>
      </w:r>
    </w:p>
    <w:p w14:paraId="1E86CDD4" w14:textId="77777777" w:rsidR="00B65FF5" w:rsidRDefault="0092718C" w:rsidP="00B65FF5">
      <w:pPr>
        <w:spacing w:line="276" w:lineRule="auto"/>
        <w:jc w:val="both"/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Paul Jackson</w:t>
      </w:r>
      <w:r w:rsidR="00377432" w:rsidRPr="00377432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,</w:t>
      </w:r>
      <w:r w:rsidR="00614054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</w:t>
      </w:r>
      <w:r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hlavní globální analytik</w:t>
      </w:r>
      <w:r w:rsidR="00614054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společnost</w:t>
      </w:r>
      <w:r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i</w:t>
      </w:r>
      <w:r w:rsidR="00614054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Invesco</w:t>
      </w:r>
    </w:p>
    <w:p w14:paraId="34930799" w14:textId="77777777" w:rsidR="002B63F1" w:rsidRPr="00377432" w:rsidRDefault="002B63F1" w:rsidP="00B65FF5">
      <w:pPr>
        <w:spacing w:line="276" w:lineRule="auto"/>
        <w:jc w:val="both"/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</w:pPr>
    </w:p>
    <w:p w14:paraId="07973A4C" w14:textId="77777777" w:rsidR="002B63F1" w:rsidRPr="002B63F1" w:rsidRDefault="002B63F1" w:rsidP="002B63F1">
      <w:pPr>
        <w:numPr>
          <w:ilvl w:val="0"/>
          <w:numId w:val="33"/>
        </w:numPr>
        <w:spacing w:line="276" w:lineRule="auto"/>
        <w:jc w:val="both"/>
        <w:rPr>
          <w:rFonts w:ascii="Invesco Interstate Light" w:eastAsia="MS Mincho" w:hAnsi="Invesco Interstate Light"/>
          <w:b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b/>
          <w:sz w:val="22"/>
          <w:szCs w:val="22"/>
          <w:lang w:eastAsia="ja-JP"/>
        </w:rPr>
        <w:t>Očekáváme, že Fed začne snižovat sazby ve druhém čtvrtletí roku 2024, což foukne vítr do plachet všem aktivům s pevným výnosem.</w:t>
      </w:r>
    </w:p>
    <w:p w14:paraId="4FA4348C" w14:textId="77777777" w:rsidR="002B63F1" w:rsidRPr="002B63F1" w:rsidRDefault="002B63F1" w:rsidP="002B63F1">
      <w:pPr>
        <w:numPr>
          <w:ilvl w:val="0"/>
          <w:numId w:val="33"/>
        </w:numPr>
        <w:spacing w:line="276" w:lineRule="auto"/>
        <w:jc w:val="both"/>
        <w:rPr>
          <w:rFonts w:ascii="Invesco Interstate Light" w:eastAsia="MS Mincho" w:hAnsi="Invesco Interstate Light"/>
          <w:b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b/>
          <w:sz w:val="22"/>
          <w:szCs w:val="22"/>
          <w:lang w:eastAsia="ja-JP"/>
        </w:rPr>
        <w:t xml:space="preserve">Velmi optimisticky vidíme dluhopisy investičního stupně a bankovní úvěry, méně příznivě zlato, komodity a akcie. </w:t>
      </w:r>
    </w:p>
    <w:p w14:paraId="6980CEE0" w14:textId="77777777" w:rsidR="002B63F1" w:rsidRPr="002B63F1" w:rsidRDefault="002B63F1" w:rsidP="002B63F1">
      <w:pPr>
        <w:numPr>
          <w:ilvl w:val="0"/>
          <w:numId w:val="33"/>
        </w:numPr>
        <w:spacing w:line="276" w:lineRule="auto"/>
        <w:jc w:val="both"/>
        <w:rPr>
          <w:rFonts w:ascii="Invesco Interstate Light" w:eastAsia="MS Mincho" w:hAnsi="Invesco Interstate Light"/>
          <w:b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b/>
          <w:sz w:val="22"/>
          <w:szCs w:val="22"/>
          <w:lang w:eastAsia="ja-JP"/>
        </w:rPr>
        <w:t>Hotovost jsme v portfoliích snížili na nulu vzhledem k tomu, že podle našeho názoru přichází nejsilnější výnosové období napříč všemi třídami aktiv od roku 2019.</w:t>
      </w:r>
    </w:p>
    <w:p w14:paraId="0D8D566C" w14:textId="77777777" w:rsidR="002B63F1" w:rsidRDefault="002B63F1" w:rsidP="002B63F1">
      <w:pPr>
        <w:pStyle w:val="Odstavecseseznamem"/>
        <w:rPr>
          <w:b/>
        </w:rPr>
      </w:pPr>
    </w:p>
    <w:p w14:paraId="0239280F" w14:textId="77777777" w:rsidR="002B63F1" w:rsidRPr="002B63F1" w:rsidRDefault="002B63F1" w:rsidP="002B63F1">
      <w:pPr>
        <w:rPr>
          <w:rFonts w:ascii="Invesco Interstate Light" w:hAnsi="Invesco Interstate Light"/>
          <w:b/>
          <w:bCs/>
          <w:sz w:val="22"/>
          <w:szCs w:val="22"/>
        </w:rPr>
      </w:pPr>
      <w:r w:rsidRPr="002B63F1">
        <w:rPr>
          <w:rFonts w:ascii="Invesco Interstate Light" w:hAnsi="Invesco Interstate Light"/>
          <w:b/>
          <w:bCs/>
          <w:sz w:val="22"/>
          <w:szCs w:val="22"/>
        </w:rPr>
        <w:t>Sazby by měly v roce 2024 prudce klesnout</w:t>
      </w:r>
    </w:p>
    <w:p w14:paraId="65C26B1D" w14:textId="77777777" w:rsidR="002B63F1" w:rsidRDefault="002B63F1" w:rsidP="002B63F1"/>
    <w:p w14:paraId="6E94230F" w14:textId="7E9CC776" w:rsidR="002B63F1" w:rsidRPr="002B63F1" w:rsidRDefault="002B63F1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Ekonomiky v průběhu roku 2023 byly oproti předchozím</w:t>
      </w:r>
      <w:r w:rsidR="00190AA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odhadům</w:t>
      </w: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odolnější, ale domníváme se, že zpomalují. Očekáváme, že inflace bude v roce 2024 nadále klesat, </w:t>
      </w:r>
      <w:r w:rsidR="00190AA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i když </w:t>
      </w: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méně plynule než v roce 2023. Hlavní západní centrální banky začnou ve druhém čtvrtletí roku 2024 uvolňovat své sazby. Historie naznačuje, že jakmile Fed začne s uvolňováním měnové politiky, učiní tak rychle.</w:t>
      </w:r>
    </w:p>
    <w:p w14:paraId="4411DA07" w14:textId="77777777" w:rsidR="002B63F1" w:rsidRDefault="002B63F1" w:rsidP="002B63F1"/>
    <w:p w14:paraId="7BE627D0" w14:textId="77777777" w:rsidR="002B63F1" w:rsidRDefault="002B63F1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Podle našeho názoru slibuje rok 2024 lepší výnosy pro fixně úročená aktiva, než na jaké jsme byli zvyklí v poslední době. Riziková aktiva mohou být na začátku roku 2024 vystavena výzvám v podobě oslabení ekonomik a očekávání jasného stanoviska centrálních bank, ale předpokládáme, že v průběhu roku dojde ke zlepšení výkonnosti.</w:t>
      </w:r>
    </w:p>
    <w:p w14:paraId="47925EA2" w14:textId="77777777" w:rsidR="002B63F1" w:rsidRDefault="002B63F1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545414B" w14:textId="77777777" w:rsidR="002B63F1" w:rsidRDefault="002B63F1" w:rsidP="002B63F1">
      <w:pPr>
        <w:rPr>
          <w:rFonts w:ascii="Invesco Interstate Light" w:hAnsi="Invesco Interstate Light"/>
          <w:b/>
          <w:bCs/>
          <w:sz w:val="22"/>
          <w:szCs w:val="22"/>
        </w:rPr>
      </w:pPr>
      <w:r w:rsidRPr="002B63F1">
        <w:rPr>
          <w:rFonts w:ascii="Invesco Interstate Light" w:hAnsi="Invesco Interstate Light"/>
          <w:b/>
          <w:bCs/>
          <w:sz w:val="22"/>
          <w:szCs w:val="22"/>
        </w:rPr>
        <w:t>Naše projekce vývoje cen aktiv v roce 2024 odrážejí následující předpoklady:</w:t>
      </w:r>
    </w:p>
    <w:p w14:paraId="5CE6CF48" w14:textId="77777777" w:rsidR="002B63F1" w:rsidRPr="002B63F1" w:rsidRDefault="002B63F1" w:rsidP="002B63F1">
      <w:pPr>
        <w:rPr>
          <w:rFonts w:ascii="Invesco Interstate Light" w:hAnsi="Invesco Interstate Light"/>
          <w:b/>
          <w:bCs/>
          <w:sz w:val="22"/>
          <w:szCs w:val="22"/>
        </w:rPr>
      </w:pPr>
    </w:p>
    <w:p w14:paraId="1DAAF2B9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Růst světového hrubého domácího produktu (HDP) nejprve zpomalí a později se zotaví.</w:t>
      </w:r>
    </w:p>
    <w:p w14:paraId="422E5675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Globální inflace klesne, ale zůstane nad cíli mnoha centrálních bank.</w:t>
      </w:r>
    </w:p>
    <w:p w14:paraId="06B7A9A3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Nejvýznamnější západní centrální banky začnou během druhého čtvrtletí roku 2024 snižovat sazby (ale budou pokračovat v kvantitativním utahování).</w:t>
      </w:r>
    </w:p>
    <w:p w14:paraId="4EF3919B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Výnosy dlouhodobých vládních dluhopisů klesnou, ale dojde k “zestrmění” (napřímení) výnosových křivek.</w:t>
      </w:r>
    </w:p>
    <w:p w14:paraId="7125B468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Úvěrové spready v USA porostou, v Evropě čekáme vývoj bez jasného směru a dojde k nárůstu nesplácených úvěrů.</w:t>
      </w:r>
    </w:p>
    <w:p w14:paraId="4E86F676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Spready u bankovních úvěrů čekáme stabilní, ale počet nesplácených úvěrů vzroste.</w:t>
      </w:r>
    </w:p>
    <w:p w14:paraId="2AA9F04C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Růst dividend u akciových a realitních investičních trustů (REIT) poleví, ale u výnosů očekáváme vývoj bez jasného směru.</w:t>
      </w:r>
    </w:p>
    <w:p w14:paraId="54746EDF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Americký dolar oslabí díky tomu, že Federální rezervní systém (Fed) ukončí svůj cyklus zvyšování úrokových sazeb.</w:t>
      </w:r>
    </w:p>
    <w:p w14:paraId="11CE43FF" w14:textId="77777777" w:rsidR="002B63F1" w:rsidRPr="002B63F1" w:rsidRDefault="002B63F1" w:rsidP="002B63F1">
      <w:pPr>
        <w:numPr>
          <w:ilvl w:val="0"/>
          <w:numId w:val="34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U komodit očekáváme smíšený vývoj vzhledem k trendu zpomalování globální ekonomiky a oslabování amerického dolaru.</w:t>
      </w:r>
    </w:p>
    <w:p w14:paraId="31133F17" w14:textId="77777777" w:rsidR="002B63F1" w:rsidRPr="002B63F1" w:rsidRDefault="002B63F1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A682AB3" w14:textId="77777777" w:rsidR="002B63F1" w:rsidRPr="002B63F1" w:rsidRDefault="002B63F1" w:rsidP="002B63F1">
      <w:pPr>
        <w:rPr>
          <w:rFonts w:ascii="Invesco Interstate Light" w:hAnsi="Invesco Interstate Light"/>
          <w:b/>
          <w:bCs/>
          <w:sz w:val="22"/>
          <w:szCs w:val="22"/>
        </w:rPr>
      </w:pPr>
      <w:r w:rsidRPr="002B63F1">
        <w:rPr>
          <w:rFonts w:ascii="Invesco Interstate Light" w:hAnsi="Invesco Interstate Light"/>
          <w:b/>
          <w:bCs/>
          <w:sz w:val="22"/>
          <w:szCs w:val="22"/>
        </w:rPr>
        <w:lastRenderedPageBreak/>
        <w:t>Valuace vypadají slibně u široké škály aktiv</w:t>
      </w:r>
    </w:p>
    <w:p w14:paraId="193AEA99" w14:textId="77777777" w:rsidR="007B15E7" w:rsidRPr="007B15E7" w:rsidRDefault="007B15E7" w:rsidP="007B15E7">
      <w:pPr>
        <w:autoSpaceDE w:val="0"/>
        <w:autoSpaceDN w:val="0"/>
        <w:adjustRightInd w:val="0"/>
        <w:rPr>
          <w:rFonts w:ascii="Invesco Interstate Light" w:hAnsi="Invesco Interstate Light"/>
          <w:b/>
          <w:bCs/>
          <w:sz w:val="22"/>
          <w:szCs w:val="22"/>
        </w:rPr>
      </w:pPr>
    </w:p>
    <w:p w14:paraId="0446B3B2" w14:textId="77777777" w:rsidR="002B63F1" w:rsidRPr="002B63F1" w:rsidRDefault="002B63F1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Naše prognózy výnosů napříč třídami aktiv jsou sice dosti ambiciózní, na druhou stranu některá riziková aktiva jsou již oceněna s ohledem na hospodářské oživení. Například spready high yield dluhopisů jsou užší, než bychom v této fázi cyklu očekávali, a akcie si v roce 2023 také vedly dobře. Energetické komodity zůstávají relativně drahé (pokud je nesrovnáváme se zlatem).</w:t>
      </w:r>
    </w:p>
    <w:p w14:paraId="27686B6A" w14:textId="77777777" w:rsidR="00981A46" w:rsidRPr="00981A46" w:rsidRDefault="00981A46" w:rsidP="00981A46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BED7A60" w14:textId="77777777" w:rsidR="002B63F1" w:rsidRDefault="002B63F1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B63F1">
        <w:rPr>
          <w:rFonts w:ascii="Invesco Interstate Light" w:eastAsia="MS Mincho" w:hAnsi="Invesco Interstate Light"/>
          <w:sz w:val="22"/>
          <w:szCs w:val="22"/>
          <w:lang w:eastAsia="ja-JP"/>
        </w:rPr>
        <w:t>Náš “optimalizační” investiční proces jednoznačně upřednostňuje dluhopisy investičního stupně (IG) a bankovní úvěry. Zlato, komodity a akcie nevypadají atraktivně. V obtížném rozhodování o alokaci se nyní přikláníme k rizikovějším aktivům vzhledem k našemu názoru, že během roku 2024 dojde k prudkému poklesu základních úrokových sazeb.</w:t>
      </w:r>
    </w:p>
    <w:p w14:paraId="107CAFE9" w14:textId="77777777" w:rsidR="00FA2263" w:rsidRDefault="00FA2263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A753B03" w14:textId="77777777" w:rsidR="00FA2263" w:rsidRPr="00FA2263" w:rsidRDefault="00FA2263" w:rsidP="00FA2263">
      <w:pPr>
        <w:rPr>
          <w:rFonts w:ascii="Invesco Interstate Light" w:hAnsi="Invesco Interstate Light"/>
          <w:b/>
          <w:bCs/>
          <w:sz w:val="22"/>
          <w:szCs w:val="22"/>
        </w:rPr>
      </w:pPr>
      <w:r w:rsidRPr="00FA2263">
        <w:rPr>
          <w:rFonts w:ascii="Invesco Interstate Light" w:hAnsi="Invesco Interstate Light"/>
          <w:b/>
          <w:bCs/>
          <w:sz w:val="22"/>
          <w:szCs w:val="22"/>
        </w:rPr>
        <w:t>Modelová alokace aktiv: umístění hotovosti</w:t>
      </w:r>
    </w:p>
    <w:p w14:paraId="1E65B2DD" w14:textId="77777777" w:rsidR="00FA2263" w:rsidRDefault="00FA2263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E8B9AC8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Ačkoli je úročení hotovosti nyní vysoké a hotovost může hrát užitečnou diverzifikační roli v případě krátkodobé volatility (kterou očekáváme), lepší výnosy z pohledu celého roku očekáváme u rizikových aktiv.</w:t>
      </w:r>
    </w:p>
    <w:p w14:paraId="0CBDC3F9" w14:textId="77777777" w:rsidR="00FA2263" w:rsidRPr="002B63F1" w:rsidRDefault="00FA2263" w:rsidP="002B63F1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713EEB6" w14:textId="77777777" w:rsidR="00FA2263" w:rsidRPr="00FA2263" w:rsidRDefault="00FA2263" w:rsidP="00FA2263">
      <w:pPr>
        <w:rPr>
          <w:rFonts w:ascii="Invesco Interstate Light" w:hAnsi="Invesco Interstate Light"/>
          <w:b/>
          <w:bCs/>
          <w:sz w:val="22"/>
          <w:szCs w:val="22"/>
        </w:rPr>
      </w:pPr>
      <w:r w:rsidRPr="00FA2263">
        <w:rPr>
          <w:rFonts w:ascii="Invesco Interstate Light" w:hAnsi="Invesco Interstate Light"/>
          <w:b/>
          <w:bCs/>
          <w:sz w:val="22"/>
          <w:szCs w:val="22"/>
        </w:rPr>
        <w:t>Obrázek 1. Optimalizovaná alokace do globálních aktiv (výnosy v místní měně)</w:t>
      </w:r>
    </w:p>
    <w:p w14:paraId="02B9B25C" w14:textId="77777777" w:rsidR="002B63F1" w:rsidRPr="00FA2263" w:rsidRDefault="002B63F1" w:rsidP="002B63F1">
      <w:pPr>
        <w:spacing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1234"/>
        <w:gridCol w:w="1234"/>
        <w:gridCol w:w="1235"/>
        <w:gridCol w:w="1235"/>
        <w:gridCol w:w="1235"/>
        <w:gridCol w:w="1235"/>
      </w:tblGrid>
      <w:tr w:rsidR="00FA2263" w14:paraId="6CA03D29" w14:textId="77777777" w:rsidTr="00FA2263">
        <w:trPr>
          <w:trHeight w:val="585"/>
        </w:trPr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C18A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4AEFCC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Neutrální portfolio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E653C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Rozsah sazeb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E9FD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Předpokládaný výnos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7BECC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Sharpe Ratio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F65F7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Maximální výnos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75DA5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Modelová alokace aktiv</w:t>
            </w:r>
          </w:p>
        </w:tc>
      </w:tr>
      <w:tr w:rsidR="00FA2263" w14:paraId="5D930F85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72CE7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Hotovost a zlato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2800B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715F1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1804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-0.6%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26FA5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1D69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27443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↓ 0%</w:t>
            </w:r>
          </w:p>
        </w:tc>
      </w:tr>
      <w:tr w:rsidR="00FA2263" w14:paraId="5F075E76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751C8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Hotovost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95826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77243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7409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6C3C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206C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AFDCD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FA2263" w14:paraId="737DD9FA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FCF87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Zlato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92EC8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48618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945F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-4.8%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3F3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FD755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4BF5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FA2263" w14:paraId="564FDC96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0367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Vládní dluhopisy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5792B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66AF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1975C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88F4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D24C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89CB7B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</w:tr>
      <w:tr w:rsidR="00FA2263" w14:paraId="0C60358C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E5B7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Korpotátní dluh. IG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75FBD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08D0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F4EA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992AC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C8BD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D1875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↑ 20%</w:t>
            </w:r>
          </w:p>
        </w:tc>
      </w:tr>
      <w:tr w:rsidR="00FA2263" w14:paraId="2C79E6AE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2E4B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Korporání dluh. HY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C5A47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6038ED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49B7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DD783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192E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DC8B7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↑ 8%</w:t>
            </w:r>
          </w:p>
        </w:tc>
      </w:tr>
      <w:tr w:rsidR="00FA2263" w14:paraId="4CE000B6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35EA7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Bankovní úvěry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3046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CFE8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D0E01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F268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63E7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66BBC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↑ 7%</w:t>
            </w:r>
          </w:p>
        </w:tc>
      </w:tr>
      <w:tr w:rsidR="00FA2263" w14:paraId="68ADA625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811DF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Akcie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263F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2C1C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25-65%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15D45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3CF5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6546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125A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↑ 37%</w:t>
            </w:r>
          </w:p>
        </w:tc>
      </w:tr>
      <w:tr w:rsidR="00FA2263" w14:paraId="4D5BA2EB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BC1AA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Nemovitosti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D189FF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7E36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0-8%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C230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80B32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26696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67823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↑ 6%</w:t>
            </w:r>
          </w:p>
        </w:tc>
      </w:tr>
      <w:tr w:rsidR="00FA2263" w14:paraId="32FF3E86" w14:textId="77777777" w:rsidTr="00FA2263">
        <w:trPr>
          <w:trHeight w:val="315"/>
        </w:trPr>
        <w:tc>
          <w:tcPr>
            <w:tcW w:w="16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5E0CB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Komodity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DBA44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F9978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F7779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-2.3%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71F7E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00A01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C8B0D" w14:textId="77777777" w:rsidR="00FA2263" w:rsidRDefault="00FA2263" w:rsidP="00470F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14:paraId="050E7B7E" w14:textId="77777777" w:rsidR="00FA2263" w:rsidRDefault="00FA2263" w:rsidP="00FA2263">
      <w:pPr>
        <w:jc w:val="both"/>
        <w:rPr>
          <w:rFonts w:ascii="Invesco Interstate Light" w:eastAsia="MS Mincho" w:hAnsi="Invesco Interstate Light"/>
          <w:i/>
          <w:lang w:eastAsia="ja-JP"/>
        </w:rPr>
      </w:pPr>
      <w:r w:rsidRPr="00FA2263">
        <w:rPr>
          <w:rFonts w:ascii="Invesco Interstate Light" w:eastAsia="MS Mincho" w:hAnsi="Invesco Interstate Light"/>
          <w:i/>
          <w:lang w:eastAsia="ja-JP"/>
        </w:rPr>
        <w:t>Zdroj: Invesco Investment Solutions a Invesco Market Strategy Office. Poznámka: Optimalizace vychází z desetiletých předpokládaných výnosů zveřejněných společností Invesco Investment Solutions v publikaci Long-Term Capital Market Assumptions (listopad 2023). Optimalizace provádí tým Asset Allocation Research. Ačkoli tyto optimální alokace vycházejí z předpokládaných výnosů poskytnutých společností Invesco Investment Solutions, nevyjadřují jejich názory ani názory jakéhokoli jiného investičního týmu společnosti Invesco.</w:t>
      </w:r>
    </w:p>
    <w:p w14:paraId="17A437F7" w14:textId="77777777" w:rsidR="00FA2263" w:rsidRPr="00FA2263" w:rsidRDefault="00FA2263" w:rsidP="00FA2263">
      <w:pPr>
        <w:jc w:val="both"/>
        <w:rPr>
          <w:rFonts w:ascii="Invesco Interstate Light" w:eastAsia="MS Mincho" w:hAnsi="Invesco Interstate Light"/>
          <w:i/>
          <w:lang w:eastAsia="ja-JP"/>
        </w:rPr>
      </w:pPr>
    </w:p>
    <w:p w14:paraId="1203B222" w14:textId="77777777" w:rsidR="00FA2263" w:rsidRDefault="00FA2263" w:rsidP="00FA2263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Snižujeme poměr hotovosti z maximálních 10 % na nulu. Tyto hotovostní rezervy jsou využity k doplnění expozic ve vládním dluhu IG, bankovních úvěrech, high yield dluhopisech, akciích a REIT.</w:t>
      </w:r>
    </w:p>
    <w:p w14:paraId="32D58D0E" w14:textId="77777777" w:rsidR="00FA2263" w:rsidRDefault="00FA2263" w:rsidP="00FA2263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5912F99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>Investiční stupeň zvyšujeme na maximálně povolených 20 % (z 18 %). Zvyšujeme alokace v eurozóně (overweight) a Japonsku (neutral), ale nejvyšší výnosy očekáváme v USA a na rozvíjejících se trzích (EM), kde jsme již na maximálních pozicích.</w:t>
      </w:r>
    </w:p>
    <w:p w14:paraId="6DDBCE6E" w14:textId="77777777" w:rsid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48B479A" w14:textId="77777777" w:rsid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Při posunu na rizikovém spektru zvyšujeme alokaci do bankovních úvěrů na 7 % (z 6 %), a to konkrétně v USA - tedy nadvažujeme a blížíme se maximálním 8 %. Zde se bráníme překročení maximální alokace pro případ, že bychom podcenili nadcházející insolvence, a protože krátká durace této třídy aktiv může při poklesu sazeb působit proti nám.</w:t>
      </w:r>
    </w:p>
    <w:p w14:paraId="0E469951" w14:textId="77777777" w:rsid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5747F02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High yield se v roce 2023 vyvíjel lépe, než jsme očekávali, a navzdory naší prognóze růstu spreadů i míry selhání jsou očekávané výnosy slušné. Proto nadvažujeme pozici na 8 % (z neutrálních 5 %).</w:t>
      </w:r>
    </w:p>
    <w:p w14:paraId="21394D9D" w14:textId="77777777" w:rsid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E634A5E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Rovněž jsme zvýšili alokaci do akcií, ale zůstáváme podváženi na 37 % (z 34 %). Ačkoli akcie obvykle dosahují dobrých výsledků při ekonomickém oživení, v roce 2023 již zazářily a rizikem je spíše krátkodobá volatilita.</w:t>
      </w:r>
    </w:p>
    <w:p w14:paraId="3228B2D2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E60DE61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Náš rizikový apetit se projevuje i ve zvýšení expozice v REITs, které nadvažujeme na 6 % (z 5 %), přičemž upřednostňujeme USA a Velkou Británii. Určitá rizika vidíme, ale myslíme si, že jeho velká část je již zohledněna v současných cenách.</w:t>
      </w:r>
    </w:p>
    <w:p w14:paraId="45402301" w14:textId="77777777" w:rsid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88BA931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Jinak neměníme podváženou expozici (22 %) do státních dluhopisů, přičemž nadále preferujeme trhy USA a Emerging markets (kromě Číny). Výnosy jsou výše, ale lepší výkonnost očekáváme u ostatních aktiv.</w:t>
      </w:r>
    </w:p>
    <w:p w14:paraId="30E68FBF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8256F27" w14:textId="77777777" w:rsidR="00FA2263" w:rsidRPr="00FA2263" w:rsidRDefault="00FA2263" w:rsidP="00FA2263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sz w:val="22"/>
          <w:szCs w:val="22"/>
          <w:lang w:eastAsia="ja-JP"/>
        </w:rPr>
        <w:t>Nulová alokace do zlata a komodit také není žádnou změnou. Důvodem jsou zčásti vyšší ceny a zčásti krátkodobé obavy o průmyslové komodity v souvislosti se zpomalováním ekonomik.</w:t>
      </w:r>
    </w:p>
    <w:p w14:paraId="6F25D9B2" w14:textId="77777777" w:rsidR="00FA2263" w:rsidRDefault="00FA2263" w:rsidP="00FA2263"/>
    <w:p w14:paraId="1A1D7A27" w14:textId="77777777" w:rsidR="00FA2263" w:rsidRPr="00FA2263" w:rsidRDefault="00FA2263" w:rsidP="00FA2263">
      <w:pPr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</w:pPr>
      <w:r w:rsidRPr="00FA2263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Autor Paul Jackson bude k vidění v Praze, 4.1.2024 na konferenci Investiční fórum.</w:t>
      </w:r>
    </w:p>
    <w:p w14:paraId="77E3E0A3" w14:textId="77777777" w:rsidR="003C4547" w:rsidRDefault="003C4547" w:rsidP="00981A46">
      <w:pPr>
        <w:spacing w:before="100" w:beforeAutospacing="1" w:afterAutospacing="1" w:line="240" w:lineRule="auto"/>
        <w:jc w:val="both"/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</w:pPr>
    </w:p>
    <w:p w14:paraId="7C2DCF70" w14:textId="77777777" w:rsidR="00BD2599" w:rsidRPr="00BD2599" w:rsidRDefault="00BD2599" w:rsidP="00BD2599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47BF034" w14:textId="77777777" w:rsidR="00A624F1" w:rsidRPr="000061D4" w:rsidRDefault="00A624F1" w:rsidP="002D1D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1BABFC0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45AFFD2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0214D151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73AEC27A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1267A90D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DCD2354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31D10B8F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BB52FB6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30F42CE3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226ADD27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8B2EF17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038B41F7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06E56E8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GmbH- jsou součástí Invesco Ltd., </w:t>
      </w:r>
    </w:p>
    <w:p w14:paraId="7408C244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0F11AF8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488900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76098A1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704A897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38C4A74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6B517939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FA46F47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 An der Welle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Red Oak ID: 1958016</w:t>
      </w:r>
    </w:p>
    <w:p w14:paraId="524DBC1A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0B360BF6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3375A007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42890735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1DE64DDA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2745769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2EE45DBF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09ED33C5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6BE7B5B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14:paraId="33328984" w14:textId="77777777" w:rsidR="002355DD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34D25F9A" w14:textId="77777777" w:rsidR="00B84512" w:rsidRPr="00907B79" w:rsidRDefault="00B84512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sectPr w:rsidR="00B84512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7ED9" w14:textId="77777777" w:rsidR="00BD703D" w:rsidRDefault="00BD703D">
      <w:r>
        <w:separator/>
      </w:r>
    </w:p>
  </w:endnote>
  <w:endnote w:type="continuationSeparator" w:id="0">
    <w:p w14:paraId="68DD6BD7" w14:textId="77777777" w:rsidR="00BD703D" w:rsidRDefault="00BD703D">
      <w:r>
        <w:continuationSeparator/>
      </w:r>
    </w:p>
  </w:endnote>
  <w:endnote w:type="continuationNotice" w:id="1">
    <w:p w14:paraId="4FB19148" w14:textId="77777777" w:rsidR="00BD703D" w:rsidRDefault="00BD70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38D9" w14:textId="77777777" w:rsidR="00BD703D" w:rsidRDefault="00BD703D">
      <w:r>
        <w:separator/>
      </w:r>
    </w:p>
  </w:footnote>
  <w:footnote w:type="continuationSeparator" w:id="0">
    <w:p w14:paraId="02BCF334" w14:textId="77777777" w:rsidR="00BD703D" w:rsidRDefault="00BD703D">
      <w:r>
        <w:continuationSeparator/>
      </w:r>
    </w:p>
  </w:footnote>
  <w:footnote w:type="continuationNotice" w:id="1">
    <w:p w14:paraId="6D3C4D41" w14:textId="77777777" w:rsidR="00BD703D" w:rsidRDefault="00BD70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570A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133C90A7" wp14:editId="1586098C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2EDCBFCC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5B6D28B" w14:textId="77777777" w:rsidR="00702C33" w:rsidRPr="000730A6" w:rsidRDefault="0092718C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</w:t>
    </w:r>
    <w:r w:rsidR="008226A1">
      <w:rPr>
        <w:color w:val="000000"/>
        <w:sz w:val="28"/>
        <w:szCs w:val="28"/>
      </w:rPr>
      <w:t>9</w:t>
    </w:r>
    <w:r w:rsidR="0083625E">
      <w:rPr>
        <w:color w:val="000000"/>
        <w:sz w:val="28"/>
        <w:szCs w:val="28"/>
      </w:rPr>
      <w:t>.</w:t>
    </w:r>
    <w:r w:rsidR="00334096">
      <w:rPr>
        <w:color w:val="000000"/>
        <w:sz w:val="28"/>
        <w:szCs w:val="28"/>
      </w:rPr>
      <w:t>1</w:t>
    </w:r>
    <w:r w:rsidR="00AA1965">
      <w:rPr>
        <w:color w:val="000000"/>
        <w:sz w:val="28"/>
        <w:szCs w:val="28"/>
      </w:rPr>
      <w:t>2</w:t>
    </w:r>
    <w:r w:rsidR="0083625E">
      <w:rPr>
        <w:color w:val="000000"/>
        <w:sz w:val="28"/>
        <w:szCs w:val="28"/>
      </w:rPr>
      <w:t>.2023</w:t>
    </w:r>
  </w:p>
  <w:p w14:paraId="31B80BBE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7CA74B6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9052814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5DF69CD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7F4"/>
    <w:multiLevelType w:val="hybridMultilevel"/>
    <w:tmpl w:val="C6068710"/>
    <w:lvl w:ilvl="0" w:tplc="F41ECF4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62C"/>
    <w:multiLevelType w:val="hybridMultilevel"/>
    <w:tmpl w:val="7438E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B5A24"/>
    <w:multiLevelType w:val="multilevel"/>
    <w:tmpl w:val="D6C0F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46D70"/>
    <w:multiLevelType w:val="multilevel"/>
    <w:tmpl w:val="11820CCE"/>
    <w:numStyleLink w:val="FormatvorlageAufgezhlt"/>
  </w:abstractNum>
  <w:abstractNum w:abstractNumId="13" w15:restartNumberingAfterBreak="0">
    <w:nsid w:val="3AAA5B92"/>
    <w:multiLevelType w:val="hybridMultilevel"/>
    <w:tmpl w:val="89A4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0B23"/>
    <w:multiLevelType w:val="multilevel"/>
    <w:tmpl w:val="11820CCE"/>
    <w:numStyleLink w:val="FormatvorlageAufgezhlt"/>
  </w:abstractNum>
  <w:abstractNum w:abstractNumId="18" w15:restartNumberingAfterBreak="0">
    <w:nsid w:val="4D992207"/>
    <w:multiLevelType w:val="multilevel"/>
    <w:tmpl w:val="1F742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403C3"/>
    <w:multiLevelType w:val="multilevel"/>
    <w:tmpl w:val="11820CCE"/>
    <w:numStyleLink w:val="FormatvorlageAufgezhlt"/>
  </w:abstractNum>
  <w:abstractNum w:abstractNumId="25" w15:restartNumberingAfterBreak="0">
    <w:nsid w:val="6C6C4721"/>
    <w:multiLevelType w:val="multilevel"/>
    <w:tmpl w:val="11820CCE"/>
    <w:numStyleLink w:val="FormatvorlageAufgezhlt"/>
  </w:abstractNum>
  <w:abstractNum w:abstractNumId="26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5380B"/>
    <w:multiLevelType w:val="multilevel"/>
    <w:tmpl w:val="11820CCE"/>
    <w:numStyleLink w:val="FormatvorlageAufgezhlt"/>
  </w:abstractNum>
  <w:abstractNum w:abstractNumId="28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937256">
    <w:abstractNumId w:val="0"/>
  </w:num>
  <w:num w:numId="2" w16cid:durableId="1522356120">
    <w:abstractNumId w:val="14"/>
  </w:num>
  <w:num w:numId="3" w16cid:durableId="1782139535">
    <w:abstractNumId w:val="22"/>
  </w:num>
  <w:num w:numId="4" w16cid:durableId="1018581842">
    <w:abstractNumId w:val="15"/>
  </w:num>
  <w:num w:numId="5" w16cid:durableId="146943800">
    <w:abstractNumId w:val="17"/>
  </w:num>
  <w:num w:numId="6" w16cid:durableId="1447500199">
    <w:abstractNumId w:val="24"/>
  </w:num>
  <w:num w:numId="7" w16cid:durableId="763307597">
    <w:abstractNumId w:val="25"/>
  </w:num>
  <w:num w:numId="8" w16cid:durableId="1215501974">
    <w:abstractNumId w:val="1"/>
  </w:num>
  <w:num w:numId="9" w16cid:durableId="1433816496">
    <w:abstractNumId w:val="27"/>
  </w:num>
  <w:num w:numId="10" w16cid:durableId="1941600971">
    <w:abstractNumId w:val="12"/>
  </w:num>
  <w:num w:numId="11" w16cid:durableId="502016165">
    <w:abstractNumId w:val="4"/>
  </w:num>
  <w:num w:numId="12" w16cid:durableId="1185291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8276149">
    <w:abstractNumId w:val="32"/>
  </w:num>
  <w:num w:numId="14" w16cid:durableId="846022309">
    <w:abstractNumId w:val="33"/>
  </w:num>
  <w:num w:numId="15" w16cid:durableId="34357402">
    <w:abstractNumId w:val="21"/>
  </w:num>
  <w:num w:numId="16" w16cid:durableId="1117873327">
    <w:abstractNumId w:val="7"/>
  </w:num>
  <w:num w:numId="17" w16cid:durableId="335769537">
    <w:abstractNumId w:val="2"/>
  </w:num>
  <w:num w:numId="18" w16cid:durableId="1131703072">
    <w:abstractNumId w:val="23"/>
  </w:num>
  <w:num w:numId="19" w16cid:durableId="36703789">
    <w:abstractNumId w:val="26"/>
  </w:num>
  <w:num w:numId="20" w16cid:durableId="1063213929">
    <w:abstractNumId w:val="30"/>
  </w:num>
  <w:num w:numId="21" w16cid:durableId="184949632">
    <w:abstractNumId w:val="29"/>
  </w:num>
  <w:num w:numId="22" w16cid:durableId="933900892">
    <w:abstractNumId w:val="11"/>
  </w:num>
  <w:num w:numId="23" w16cid:durableId="340163442">
    <w:abstractNumId w:val="20"/>
  </w:num>
  <w:num w:numId="24" w16cid:durableId="918103829">
    <w:abstractNumId w:val="16"/>
  </w:num>
  <w:num w:numId="25" w16cid:durableId="477921062">
    <w:abstractNumId w:val="31"/>
  </w:num>
  <w:num w:numId="26" w16cid:durableId="2100708447">
    <w:abstractNumId w:val="19"/>
  </w:num>
  <w:num w:numId="27" w16cid:durableId="1276404317">
    <w:abstractNumId w:val="3"/>
  </w:num>
  <w:num w:numId="28" w16cid:durableId="1239289647">
    <w:abstractNumId w:val="5"/>
  </w:num>
  <w:num w:numId="29" w16cid:durableId="1225986420">
    <w:abstractNumId w:val="28"/>
  </w:num>
  <w:num w:numId="30" w16cid:durableId="1244994643">
    <w:abstractNumId w:val="9"/>
  </w:num>
  <w:num w:numId="31" w16cid:durableId="201330059">
    <w:abstractNumId w:val="6"/>
  </w:num>
  <w:num w:numId="32" w16cid:durableId="409158538">
    <w:abstractNumId w:val="13"/>
  </w:num>
  <w:num w:numId="33" w16cid:durableId="1882395026">
    <w:abstractNumId w:val="18"/>
  </w:num>
  <w:num w:numId="34" w16cid:durableId="1016620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07DDF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6D4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BD4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947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446A"/>
    <w:rsid w:val="000E577A"/>
    <w:rsid w:val="000E6044"/>
    <w:rsid w:val="000E6718"/>
    <w:rsid w:val="000E6E59"/>
    <w:rsid w:val="000E78B6"/>
    <w:rsid w:val="000F03BC"/>
    <w:rsid w:val="000F0588"/>
    <w:rsid w:val="000F0EF7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7F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441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AAD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179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63F1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10C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096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77432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03DB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54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0A8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2F7"/>
    <w:rsid w:val="0046076E"/>
    <w:rsid w:val="00460A9E"/>
    <w:rsid w:val="00461115"/>
    <w:rsid w:val="00461AAC"/>
    <w:rsid w:val="00461DA6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A05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518E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9B1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47F0A"/>
    <w:rsid w:val="00550018"/>
    <w:rsid w:val="0055074D"/>
    <w:rsid w:val="005509E4"/>
    <w:rsid w:val="00550DED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A15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C7A1D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4C3B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054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EB8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15E7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07CFB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6A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0CD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5D15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18C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453D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798"/>
    <w:rsid w:val="00975F9F"/>
    <w:rsid w:val="00977220"/>
    <w:rsid w:val="00980196"/>
    <w:rsid w:val="00981A4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2FB4"/>
    <w:rsid w:val="00A539BE"/>
    <w:rsid w:val="00A54226"/>
    <w:rsid w:val="00A56779"/>
    <w:rsid w:val="00A5698A"/>
    <w:rsid w:val="00A57442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965"/>
    <w:rsid w:val="00AA1A1F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5FEC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27C71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5FF5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512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599"/>
    <w:rsid w:val="00BD26D8"/>
    <w:rsid w:val="00BD27BA"/>
    <w:rsid w:val="00BD2ACF"/>
    <w:rsid w:val="00BD317F"/>
    <w:rsid w:val="00BD47E8"/>
    <w:rsid w:val="00BD4AF3"/>
    <w:rsid w:val="00BD684B"/>
    <w:rsid w:val="00BD6D92"/>
    <w:rsid w:val="00BD703D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3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590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9FA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6DAC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19F"/>
    <w:rsid w:val="00F103EE"/>
    <w:rsid w:val="00F10FDF"/>
    <w:rsid w:val="00F125B3"/>
    <w:rsid w:val="00F131E1"/>
    <w:rsid w:val="00F1326C"/>
    <w:rsid w:val="00F134A5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4EBE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263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785CE"/>
  <w15:docId w15:val="{15B5E473-E647-479F-B765-60708063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6F922-0F3C-4E96-A1FE-8BA2962D17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1154</Words>
  <Characters>6810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Eliška Krohová</cp:lastModifiedBy>
  <cp:revision>2</cp:revision>
  <cp:lastPrinted>2021-02-17T20:24:00Z</cp:lastPrinted>
  <dcterms:created xsi:type="dcterms:W3CDTF">2023-12-29T09:37:00Z</dcterms:created>
  <dcterms:modified xsi:type="dcterms:W3CDTF">2023-12-29T09:37:00Z</dcterms:modified>
</cp:coreProperties>
</file>